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color w:val="000000"/>
          <w:spacing w:val="0"/>
          <w:sz w:val="28"/>
        </w:rPr>
      </w:pPr>
      <w:r>
        <w:rPr>
          <w:rFonts w:ascii="Times New Roman" w:hAnsi="Times New Roman"/>
          <w:b/>
          <w:color w:val="000000"/>
          <w:spacing w:val="0"/>
          <w:sz w:val="28"/>
        </w:rPr>
        <w:t>ПАМЯТКА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pacing w:val="0"/>
          <w:sz w:val="28"/>
        </w:rPr>
      </w:pPr>
      <w:r>
        <w:rPr>
          <w:rFonts w:ascii="Times New Roman" w:hAnsi="Times New Roman"/>
          <w:b/>
          <w:color w:val="000000"/>
          <w:spacing w:val="0"/>
          <w:sz w:val="28"/>
        </w:rPr>
        <w:t>к анкете-опроснику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</w:rPr>
        <w:t>Заполнение анкеты-опросника</w:t>
      </w:r>
      <w:r>
        <w:rPr>
          <w:rFonts w:ascii="Times New Roman" w:hAnsi="Times New Roman"/>
          <w:b w:val="false"/>
          <w:sz w:val="28"/>
        </w:rPr>
        <w:t xml:space="preserve"> осуществляется российским предприятием транспортно-логистического сектора, осуществляющим экспорт транспортных услуг.</w:t>
      </w:r>
    </w:p>
    <w:p>
      <w:pPr>
        <w:pStyle w:val="Normal"/>
        <w:widowControl w:val="false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Анкеты-опросники справочно содержат виды услуг, предоставляемых</w:t>
        <w:br/>
        <w:t>на экспорт, и соответствуют видам услуг, учитываемым методикой Банка России, в соответствии с которой осуществляется статистическая отчетность</w:t>
        <w:br/>
        <w:t>по формам «№ 1 Транспорт», «№ 3 Транспорт», утвержденным указанием Банка России № 5328-У.</w:t>
      </w:r>
    </w:p>
    <w:p>
      <w:pPr>
        <w:pStyle w:val="Normal"/>
        <w:widowControl w:val="false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Анкеты-опросники содержат вопросы, направленные на оценку сильных (положительных), слабых (негативных) сторон работы предприятия</w:t>
        <w:br/>
        <w:t>на экспортном направлении, потенциальных возможностей наращивания объемов экспорта транспортных услуг и возможных угроз.</w:t>
      </w:r>
    </w:p>
    <w:p>
      <w:pPr>
        <w:pStyle w:val="Normal"/>
        <w:widowControl w:val="false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Заполнение анкет-опросников просьба осуществлять по исходной форме анкеты, по-возможности, раздельно для оказываемых видов услуг.</w:t>
      </w:r>
    </w:p>
    <w:p>
      <w:pPr>
        <w:pStyle w:val="Normal"/>
        <w:widowControl w:val="false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160"/>
        <w:ind w:left="0" w:right="0" w:firstLine="709"/>
        <w:contextualSpacing/>
        <w:jc w:val="both"/>
        <w:rPr>
          <w:sz w:val="24"/>
        </w:rPr>
      </w:pPr>
      <w:r>
        <w:rPr>
          <w:rFonts w:ascii="Times New Roman" w:hAnsi="Times New Roman"/>
          <w:b w:val="false"/>
          <w:color w:val="000000"/>
          <w:spacing w:val="0"/>
          <w:sz w:val="24"/>
        </w:rPr>
        <w:t>Справочно.</w:t>
      </w:r>
    </w:p>
    <w:p>
      <w:pPr>
        <w:pStyle w:val="Normal"/>
        <w:widowControl w:val="false"/>
        <w:spacing w:before="0" w:after="160"/>
        <w:ind w:left="0" w:right="0" w:firstLine="709"/>
        <w:contextualSpacing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Экспорт транспортных услуг - </w:t>
      </w:r>
      <w:r>
        <w:rPr>
          <w:rFonts w:ascii="Times New Roman" w:hAnsi="Times New Roman"/>
          <w:sz w:val="24"/>
        </w:rPr>
        <w:t xml:space="preserve">все виды транспортного обслуживания водным, воздушным, железнодорожным, автомобильным видами транспорта, осуществляемого </w:t>
      </w:r>
      <w:r>
        <w:rPr>
          <w:rFonts w:ascii="Times New Roman" w:hAnsi="Times New Roman"/>
          <w:color w:val="000000"/>
          <w:spacing w:val="0"/>
          <w:sz w:val="24"/>
        </w:rPr>
        <w:t xml:space="preserve">российскими предприятиями резидентам других стран (одной из сторон договора является нерезидент Российской Федерации). Такие </w:t>
      </w:r>
      <w:r>
        <w:rPr>
          <w:rFonts w:ascii="Times New Roman" w:hAnsi="Times New Roman"/>
          <w:sz w:val="24"/>
        </w:rPr>
        <w:t>услуги включают пассажирские, грузовые перевозки, вспомогательные (перевалка грузов в портах; аэропортовое обслуживание; услуги ж/д станций; автовокзалов; транспортно-логистической инфраструктуры и др.)</w:t>
        <w:br/>
        <w:t>и дополнительные транспортные услуги.</w:t>
      </w:r>
    </w:p>
    <w:p>
      <w:pPr>
        <w:pStyle w:val="Normal"/>
        <w:widowControl w:val="false"/>
        <w:spacing w:before="0" w:after="160"/>
        <w:ind w:left="0" w:right="0" w:firstLine="709"/>
        <w:contextualSpacing/>
        <w:jc w:val="both"/>
        <w:rPr>
          <w:sz w:val="24"/>
        </w:rPr>
      </w:pPr>
      <w:r>
        <w:rPr>
          <w:rFonts w:ascii="Times New Roman" w:hAnsi="Times New Roman"/>
          <w:b w:val="false"/>
          <w:i w:val="false"/>
          <w:sz w:val="24"/>
          <w:u w:val="single"/>
        </w:rPr>
        <w:t>Пассажирские перевозки</w:t>
      </w:r>
      <w:r>
        <w:rPr>
          <w:rFonts w:ascii="Times New Roman" w:hAnsi="Times New Roman"/>
          <w:b w:val="false"/>
          <w:i w:val="false"/>
          <w:sz w:val="24"/>
          <w:u w:val="none"/>
        </w:rPr>
        <w:t xml:space="preserve"> включают услуги по перевозке российскими транспортными предприятиями пассажиров, не являющихся резидентами Российской Федерации</w:t>
        <w:br/>
        <w:t>(по договорам перевозки с нерезидентами) на регулярной, нерегулярной основе, а также аренду транспортных средств с экипажем для осуществления перевозки пассажиров.</w:t>
      </w:r>
    </w:p>
    <w:p>
      <w:pPr>
        <w:pStyle w:val="Normal"/>
        <w:widowControl w:val="false"/>
        <w:spacing w:before="0" w:after="160"/>
        <w:ind w:left="0" w:right="0" w:firstLine="709"/>
        <w:contextualSpacing/>
        <w:jc w:val="both"/>
        <w:rPr>
          <w:sz w:val="24"/>
        </w:rPr>
      </w:pPr>
      <w:r>
        <w:rPr>
          <w:rFonts w:ascii="Times New Roman" w:hAnsi="Times New Roman"/>
          <w:b w:val="false"/>
          <w:i w:val="false"/>
          <w:sz w:val="24"/>
          <w:u w:val="single"/>
        </w:rPr>
        <w:t>Грузовые перевозки включают</w:t>
      </w:r>
      <w:r>
        <w:rPr>
          <w:rFonts w:ascii="Times New Roman" w:hAnsi="Times New Roman"/>
          <w:b w:val="false"/>
          <w:i w:val="false"/>
          <w:sz w:val="24"/>
          <w:u w:val="none"/>
        </w:rPr>
        <w:t xml:space="preserve"> перевозку российскими транспортными </w:t>
      </w:r>
      <w:r>
        <w:rPr>
          <w:rFonts w:ascii="Times New Roman" w:hAnsi="Times New Roman"/>
          <w:b w:val="false"/>
          <w:i w:val="false"/>
          <w:color w:val="000000"/>
          <w:spacing w:val="0"/>
          <w:sz w:val="24"/>
          <w:u w:val="none"/>
        </w:rPr>
        <w:t>предприятиями (по договорам перевозки с нерезидентами)</w:t>
      </w:r>
      <w:r>
        <w:rPr>
          <w:rFonts w:ascii="Times New Roman" w:hAnsi="Times New Roman"/>
          <w:b w:val="false"/>
          <w:i w:val="false"/>
          <w:sz w:val="24"/>
          <w:u w:val="none"/>
        </w:rPr>
        <w:t>: российских экспортных грузов</w:t>
        <w:br/>
        <w:t>от таможенной границы России до пункта назначения на территории иностранного государства; российских импортных грузов по территории страны, экспортирующей товар</w:t>
        <w:br/>
        <w:t>в Россию; транзит через российскую территорию принадлежащих нерезидентам грузов,</w:t>
        <w:br/>
        <w:t>не относящихся к российскому экспорту или импорту; перевозки по территории иностранных государств или между иностранными государствами принадлежащих нерезидентам грузов, не относящихся к российскому экспорту или импорту; грузов</w:t>
        <w:br/>
        <w:t>для расположенных на территории России иностранных посольств, консульств; а также аренда транспортных средств с экипажем для перевозки грузов.</w:t>
      </w:r>
    </w:p>
    <w:p>
      <w:pPr>
        <w:pStyle w:val="Normal"/>
        <w:widowControl w:val="false"/>
        <w:spacing w:before="0" w:after="160"/>
        <w:ind w:left="0" w:right="0" w:firstLine="709"/>
        <w:contextualSpacing/>
        <w:jc w:val="both"/>
        <w:rPr>
          <w:sz w:val="24"/>
        </w:rPr>
      </w:pPr>
      <w:r>
        <w:rPr>
          <w:rFonts w:ascii="Times New Roman" w:hAnsi="Times New Roman"/>
          <w:b w:val="false"/>
          <w:i w:val="false"/>
          <w:color w:val="000000"/>
          <w:spacing w:val="0"/>
          <w:sz w:val="24"/>
          <w:u w:val="single"/>
        </w:rPr>
        <w:t>Вспомогательные и дополнительные транспортные услуги</w:t>
      </w:r>
      <w:r>
        <w:rPr>
          <w:rFonts w:ascii="Times New Roman" w:hAnsi="Times New Roman"/>
          <w:b w:val="false"/>
          <w:i w:val="false"/>
          <w:color w:val="000000"/>
          <w:spacing w:val="0"/>
          <w:sz w:val="24"/>
          <w:u w:val="none"/>
        </w:rPr>
        <w:t xml:space="preserve"> - работы (услуги), предоставляемые российскими предприятиями транспортно-логистического сектора</w:t>
        <w:br/>
        <w:t>(по договорам с нерезидентами) в портах, аэропортах, на железнодорожных</w:t>
        <w:br/>
        <w:t>и автомобильных вокзалах и станциях, грузовых терминалах; погрузочно-разгрузочные работы; услуги по управлению воздушным движением; эксплуатация взлетно-посадочных полос, автомагистралей, железных дорог, мостов и туннелей; чистка и уборка транспортных средств; услуги (комиссии) транспортных агентств (экспедиторов), связанные с грузовыми</w:t>
        <w:br/>
        <w:t>и пассажирскими перевозками; прочие сопутствующие операции.</w:t>
      </w:r>
    </w:p>
    <w:p>
      <w:pPr>
        <w:pStyle w:val="Normal"/>
        <w:widowControl w:val="false"/>
        <w:spacing w:before="0" w:after="160"/>
        <w:ind w:left="0" w:right="0" w:firstLine="709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Кроме того,  </w:t>
      </w:r>
      <w:r>
        <w:rPr>
          <w:rFonts w:ascii="Times New Roman" w:hAnsi="Times New Roman"/>
          <w:i w:val="false"/>
          <w:color w:val="000000"/>
          <w:spacing w:val="0"/>
          <w:sz w:val="24"/>
          <w:u w:val="none"/>
        </w:rPr>
        <w:t xml:space="preserve">Генеральное соглашение по торговле услугами 1995 года,  Руководство ООН по статистике международной торговли услугами 2010 года предусматривают такие способы торговли услугами, как: </w:t>
      </w:r>
      <w:r>
        <w:rPr>
          <w:rFonts w:ascii="Times New Roman" w:hAnsi="Times New Roman"/>
          <w:color w:val="000000"/>
          <w:spacing w:val="0"/>
          <w:sz w:val="24"/>
        </w:rPr>
        <w:t>«коммерческое присутствие за границей», «присутствие физических лиц - присутствие отдельных лиц (представителей поставщика)».</w:t>
      </w:r>
    </w:p>
    <w:sectPr>
      <w:headerReference w:type="default" r:id="rId2"/>
      <w:type w:val="nextPage"/>
      <w:pgSz w:w="11906" w:h="16838"/>
      <w:pgMar w:left="1134" w:right="1134" w:header="0" w:top="709" w:footer="0" w:bottom="539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stroked="f" style="position:absolute;margin-left:0pt;margin-top:0.05pt;width:6.0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0pt;margin-top:0.05pt;width:1.1pt;height:1.1pt;mso-wrap-style:square;v-text-anchor:top;mso-position-horizontal:lef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4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7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Droid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4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70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38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ing5">
    <w:name w:val="Heading 5"/>
    <w:link w:val="Style_38"/>
    <w:qFormat/>
    <w:rPr>
      <w:rFonts w:ascii="XO Thames" w:hAnsi="XO Thames"/>
      <w:b/>
      <w:color w:val="000000"/>
      <w:spacing w:val="0"/>
      <w:sz w:val="22"/>
    </w:rPr>
  </w:style>
  <w:style w:type="character" w:styleId="Toc10">
    <w:name w:val="toc 10"/>
    <w:link w:val="Style_67"/>
    <w:qFormat/>
    <w:rPr/>
  </w:style>
  <w:style w:type="character" w:styleId="Contents2">
    <w:name w:val="Contents 2"/>
    <w:link w:val="Style_45"/>
    <w:qFormat/>
    <w:rPr>
      <w:rFonts w:ascii="Liberation Serif" w:hAnsi="Liberation Serif"/>
      <w:color w:val="000000"/>
      <w:spacing w:val="0"/>
      <w:sz w:val="24"/>
    </w:rPr>
  </w:style>
  <w:style w:type="character" w:styleId="Title">
    <w:name w:val="Title"/>
    <w:link w:val="Style_69"/>
    <w:qFormat/>
    <w:rPr>
      <w:rFonts w:ascii="XO Thames" w:hAnsi="XO Thames"/>
      <w:b/>
      <w:color w:val="000000"/>
      <w:spacing w:val="0"/>
      <w:sz w:val="52"/>
    </w:rPr>
  </w:style>
  <w:style w:type="character" w:styleId="Style9">
    <w:name w:val="Заголовок"/>
    <w:link w:val="Style_35"/>
    <w:qFormat/>
    <w:rPr>
      <w:rFonts w:ascii="Liberation Sans" w:hAnsi="Liberation Sans"/>
      <w:color w:val="000000"/>
      <w:spacing w:val="0"/>
      <w:sz w:val="28"/>
    </w:rPr>
  </w:style>
  <w:style w:type="character" w:styleId="Contents4">
    <w:name w:val="Contents 4"/>
    <w:link w:val="Style_68"/>
    <w:qFormat/>
    <w:rPr>
      <w:rFonts w:ascii="Liberation Serif" w:hAnsi="Liberation Serif"/>
      <w:color w:val="000000"/>
      <w:spacing w:val="0"/>
      <w:sz w:val="24"/>
    </w:rPr>
  </w:style>
  <w:style w:type="character" w:styleId="Contents6">
    <w:name w:val="Contents 6"/>
    <w:link w:val="Style_73"/>
    <w:qFormat/>
    <w:rPr>
      <w:rFonts w:ascii="Liberation Serif" w:hAnsi="Liberation Serif"/>
      <w:color w:val="000000"/>
      <w:spacing w:val="0"/>
      <w:sz w:val="24"/>
    </w:rPr>
  </w:style>
  <w:style w:type="character" w:styleId="Contents7">
    <w:name w:val="Contents 7"/>
    <w:link w:val="Style_65"/>
    <w:qFormat/>
    <w:rPr>
      <w:rFonts w:ascii="Liberation Serif" w:hAnsi="Liberation Serif"/>
      <w:color w:val="000000"/>
      <w:spacing w:val="0"/>
      <w:sz w:val="24"/>
    </w:rPr>
  </w:style>
  <w:style w:type="character" w:styleId="Heading1">
    <w:name w:val="Heading 1"/>
    <w:link w:val="Style_42"/>
    <w:qFormat/>
    <w:rPr>
      <w:rFonts w:ascii="XO Thames" w:hAnsi="XO Thames"/>
      <w:b/>
      <w:color w:val="000000"/>
      <w:spacing w:val="0"/>
      <w:sz w:val="32"/>
    </w:rPr>
  </w:style>
  <w:style w:type="character" w:styleId="Heading3">
    <w:name w:val="Heading 3"/>
    <w:link w:val="Style_47"/>
    <w:qFormat/>
    <w:rPr>
      <w:rFonts w:ascii="XO Thames" w:hAnsi="XO Thames"/>
      <w:b/>
      <w:i/>
      <w:color w:val="000000"/>
      <w:spacing w:val="0"/>
      <w:sz w:val="24"/>
    </w:rPr>
  </w:style>
  <w:style w:type="character" w:styleId="Style10">
    <w:name w:val="Текст в заданном формате"/>
    <w:link w:val="Style_19"/>
    <w:qFormat/>
    <w:rPr>
      <w:rFonts w:ascii="Liberation Mono" w:hAnsi="Liberation Mono"/>
      <w:sz w:val="20"/>
    </w:rPr>
  </w:style>
  <w:style w:type="character" w:styleId="Style11">
    <w:name w:val="Заголовок таблицы"/>
    <w:basedOn w:val="Style12"/>
    <w:link w:val="Style_64"/>
    <w:qFormat/>
    <w:rPr>
      <w:b/>
    </w:rPr>
  </w:style>
  <w:style w:type="character" w:styleId="Textbody">
    <w:name w:val="Text body"/>
    <w:link w:val="Style_18"/>
    <w:qFormat/>
    <w:rPr>
      <w:rFonts w:ascii="Liberation Serif" w:hAnsi="Liberation Serif"/>
      <w:color w:val="000000"/>
      <w:spacing w:val="0"/>
      <w:sz w:val="24"/>
    </w:rPr>
  </w:style>
  <w:style w:type="character" w:styleId="List">
    <w:name w:val="List"/>
    <w:basedOn w:val="Textbody"/>
    <w:link w:val="Style_28"/>
    <w:qFormat/>
    <w:rPr/>
  </w:style>
  <w:style w:type="character" w:styleId="Style12">
    <w:name w:val="Содержимое таблицы"/>
    <w:link w:val="Style_15"/>
    <w:qFormat/>
    <w:rPr>
      <w:rFonts w:ascii="Liberation Serif" w:hAnsi="Liberation Serif"/>
      <w:color w:val="000000"/>
      <w:spacing w:val="0"/>
      <w:sz w:val="24"/>
    </w:rPr>
  </w:style>
  <w:style w:type="character" w:styleId="Style13">
    <w:name w:val="Верхний и нижний колонтитулы"/>
    <w:link w:val="Style_56"/>
    <w:qFormat/>
    <w:rPr>
      <w:rFonts w:ascii="XO Thames" w:hAnsi="XO Thames"/>
      <w:color w:val="000000"/>
      <w:spacing w:val="0"/>
      <w:sz w:val="20"/>
    </w:rPr>
  </w:style>
  <w:style w:type="character" w:styleId="Footnote">
    <w:name w:val="Footnote"/>
    <w:link w:val="Style_44"/>
    <w:qFormat/>
    <w:rPr>
      <w:rFonts w:ascii="XO Thames" w:hAnsi="XO Thames"/>
      <w:color w:val="000000"/>
      <w:spacing w:val="0"/>
      <w:sz w:val="22"/>
    </w:rPr>
  </w:style>
  <w:style w:type="character" w:styleId="Contents3">
    <w:name w:val="Contents 3"/>
    <w:link w:val="Style_52"/>
    <w:qFormat/>
    <w:rPr>
      <w:rFonts w:ascii="Liberation Serif" w:hAnsi="Liberation Serif"/>
      <w:color w:val="000000"/>
      <w:spacing w:val="0"/>
      <w:sz w:val="24"/>
    </w:rPr>
  </w:style>
  <w:style w:type="character" w:styleId="Style14">
    <w:name w:val="Содержимое врезки"/>
    <w:link w:val="Style_25"/>
    <w:qFormat/>
    <w:rPr/>
  </w:style>
  <w:style w:type="character" w:styleId="Heading4">
    <w:name w:val="Heading 4"/>
    <w:link w:val="Style_70"/>
    <w:qFormat/>
    <w:rPr>
      <w:rFonts w:ascii="XO Thames" w:hAnsi="XO Thames"/>
      <w:b/>
      <w:color w:val="595959"/>
      <w:spacing w:val="0"/>
      <w:sz w:val="26"/>
    </w:rPr>
  </w:style>
  <w:style w:type="character" w:styleId="Header">
    <w:name w:val="Header"/>
    <w:basedOn w:val="Style13"/>
    <w:link w:val="Style_27"/>
    <w:qFormat/>
    <w:rPr/>
  </w:style>
  <w:style w:type="character" w:styleId="Contents9">
    <w:name w:val="Contents 9"/>
    <w:link w:val="Style_54"/>
    <w:qFormat/>
    <w:rPr/>
  </w:style>
  <w:style w:type="character" w:styleId="Style15">
    <w:name w:val="Интернет-ссылка"/>
    <w:link w:val="Style_51"/>
    <w:rPr>
      <w:rFonts w:ascii="Liberation Serif" w:hAnsi="Liberation Serif"/>
      <w:color w:val="0000FF"/>
      <w:spacing w:val="0"/>
      <w:sz w:val="24"/>
      <w:u w:val="single" w:color="0000FF"/>
    </w:rPr>
  </w:style>
  <w:style w:type="character" w:styleId="Caption">
    <w:name w:val="Caption"/>
    <w:link w:val="Style_41"/>
    <w:qFormat/>
    <w:rPr>
      <w:rFonts w:ascii="Liberation Serif" w:hAnsi="Liberation Serif"/>
      <w:i/>
      <w:color w:val="000000"/>
      <w:spacing w:val="0"/>
      <w:sz w:val="24"/>
    </w:rPr>
  </w:style>
  <w:style w:type="character" w:styleId="Contents5">
    <w:name w:val="Contents 5"/>
    <w:link w:val="Style_58"/>
    <w:qFormat/>
    <w:rPr/>
  </w:style>
  <w:style w:type="character" w:styleId="Contents8">
    <w:name w:val="Contents 8"/>
    <w:link w:val="Style_55"/>
    <w:qFormat/>
    <w:rPr/>
  </w:style>
  <w:style w:type="character" w:styleId="Index">
    <w:name w:val="Index"/>
    <w:link w:val="Style_37"/>
    <w:qFormat/>
    <w:rPr/>
  </w:style>
  <w:style w:type="character" w:styleId="Style16">
    <w:name w:val="Указатель"/>
    <w:link w:val="Style_66"/>
    <w:qFormat/>
    <w:rPr>
      <w:rFonts w:ascii="Liberation Serif" w:hAnsi="Liberation Serif"/>
      <w:color w:val="000000"/>
      <w:spacing w:val="0"/>
      <w:sz w:val="24"/>
    </w:rPr>
  </w:style>
  <w:style w:type="character" w:styleId="Contents1">
    <w:name w:val="Contents 1"/>
    <w:link w:val="Style_59"/>
    <w:qFormat/>
    <w:rPr>
      <w:rFonts w:ascii="XO Thames" w:hAnsi="XO Thames"/>
      <w:b/>
      <w:color w:val="000000"/>
      <w:spacing w:val="0"/>
      <w:sz w:val="24"/>
    </w:rPr>
  </w:style>
  <w:style w:type="character" w:styleId="HeaderandFooter">
    <w:name w:val="Header and Footer"/>
    <w:link w:val="Style_48"/>
    <w:qFormat/>
    <w:rPr>
      <w:rFonts w:ascii="XO Thames" w:hAnsi="XO Thames"/>
      <w:sz w:val="20"/>
    </w:rPr>
  </w:style>
  <w:style w:type="character" w:styleId="Subtitle">
    <w:name w:val="Subtitle"/>
    <w:link w:val="Style_63"/>
    <w:qFormat/>
    <w:rPr>
      <w:rFonts w:ascii="XO Thames" w:hAnsi="XO Thames"/>
      <w:i/>
      <w:color w:val="616161"/>
      <w:spacing w:val="0"/>
      <w:sz w:val="24"/>
    </w:rPr>
  </w:style>
  <w:style w:type="character" w:styleId="Heading2">
    <w:name w:val="Heading 2"/>
    <w:link w:val="Style_72"/>
    <w:qFormat/>
    <w:rPr>
      <w:rFonts w:ascii="XO Thames" w:hAnsi="XO Thames"/>
      <w:b/>
      <w:color w:val="00A0FF"/>
      <w:spacing w:val="0"/>
      <w:sz w:val="26"/>
    </w:rPr>
  </w:style>
  <w:style w:type="character" w:styleId="Heading">
    <w:name w:val="Heading"/>
    <w:link w:val="Style_62"/>
    <w:qFormat/>
    <w:rPr>
      <w:rFonts w:ascii="Liberation Sans" w:hAnsi="Liberation Sans"/>
      <w:sz w:val="28"/>
    </w:rPr>
  </w:style>
  <w:style w:type="paragraph" w:styleId="Style17">
    <w:name w:val="Заголовок"/>
    <w:next w:val="Textbody1"/>
    <w:link w:val="Style_6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Body Text"/>
    <w:basedOn w:val="Normal"/>
    <w:link w:val="Style_16_ch"/>
    <w:pPr>
      <w:spacing w:lineRule="auto" w:line="276" w:before="0" w:after="140"/>
    </w:pPr>
    <w:rPr/>
  </w:style>
  <w:style w:type="paragraph" w:styleId="Style19">
    <w:name w:val="List"/>
    <w:basedOn w:val="Textbody1"/>
    <w:link w:val="Style_28_ch"/>
    <w:pPr/>
    <w:rPr/>
  </w:style>
  <w:style w:type="paragraph" w:styleId="Style20">
    <w:name w:val="Caption"/>
    <w:link w:val="Style_4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Указатель"/>
    <w:link w:val="Style_6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basedOn w:val="Normal"/>
    <w:next w:val="Normal"/>
    <w:link w:val="Style_67_ch"/>
    <w:uiPriority w:val="39"/>
    <w:qFormat/>
    <w:pPr>
      <w:ind w:left="1800" w:right="0" w:hanging="0"/>
    </w:pPr>
    <w:rPr/>
  </w:style>
  <w:style w:type="paragraph" w:styleId="Contents21">
    <w:name w:val="Contents 2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21">
    <w:name w:val="TOC 2"/>
    <w:basedOn w:val="Normal"/>
    <w:next w:val="Normal"/>
    <w:link w:val="Style_5_ch"/>
    <w:uiPriority w:val="39"/>
    <w:pPr>
      <w:ind w:left="200" w:right="0" w:hanging="0"/>
    </w:pPr>
    <w:rPr/>
  </w:style>
  <w:style w:type="paragraph" w:styleId="Style22">
    <w:name w:val="Title"/>
    <w:next w:val="Normal"/>
    <w:link w:val="Style_6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41">
    <w:name w:val="TOC 4"/>
    <w:basedOn w:val="Normal"/>
    <w:next w:val="Normal"/>
    <w:link w:val="Style_8_ch"/>
    <w:uiPriority w:val="39"/>
    <w:pPr>
      <w:ind w:left="600" w:right="0" w:hanging="0"/>
    </w:pPr>
    <w:rPr/>
  </w:style>
  <w:style w:type="paragraph" w:styleId="6">
    <w:name w:val="TOC 6"/>
    <w:basedOn w:val="Normal"/>
    <w:next w:val="Normal"/>
    <w:link w:val="Style_9_ch"/>
    <w:uiPriority w:val="39"/>
    <w:pPr>
      <w:ind w:left="1000" w:right="0" w:hanging="0"/>
    </w:pPr>
    <w:rPr/>
  </w:style>
  <w:style w:type="paragraph" w:styleId="7">
    <w:name w:val="TOC 7"/>
    <w:basedOn w:val="Normal"/>
    <w:next w:val="Normal"/>
    <w:link w:val="Style_10_ch"/>
    <w:uiPriority w:val="39"/>
    <w:pPr>
      <w:ind w:left="1200" w:right="0" w:hanging="0"/>
    </w:pPr>
    <w:rPr/>
  </w:style>
  <w:style w:type="paragraph" w:styleId="Style23">
    <w:name w:val="Текст в заданном формате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Содержимое таблицы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Заголовок таблицы"/>
    <w:basedOn w:val="Style24"/>
    <w:link w:val="Style_64_ch"/>
    <w:qFormat/>
    <w:pPr/>
    <w:rPr>
      <w:b/>
    </w:rPr>
  </w:style>
  <w:style w:type="paragraph" w:styleId="Style26">
    <w:name w:val="Верхний и нижний колонтитулы"/>
    <w:link w:val="Style_5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link w:val="Style_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Style_6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31">
    <w:name w:val="Contents 3"/>
    <w:link w:val="Style_5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Содержимое врезки"/>
    <w:basedOn w:val="Normal"/>
    <w:link w:val="Style_25_ch"/>
    <w:qFormat/>
    <w:pPr/>
    <w:rPr/>
  </w:style>
  <w:style w:type="paragraph" w:styleId="Style28">
    <w:name w:val="Header"/>
    <w:basedOn w:val="Style26"/>
    <w:link w:val="Style_27_ch"/>
    <w:pPr/>
    <w:rPr/>
  </w:style>
  <w:style w:type="paragraph" w:styleId="Textbody1">
    <w:name w:val="Text body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1">
    <w:name w:val="Contents 9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Интернет-ссылка"/>
    <w:link w:val="Style_5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FF"/>
      <w:spacing w:val="0"/>
      <w:kern w:val="0"/>
      <w:sz w:val="24"/>
      <w:szCs w:val="20"/>
      <w:u w:val="single" w:color="0000FF"/>
      <w:lang w:val="ru-RU" w:eastAsia="zh-CN" w:bidi="hi-IN"/>
    </w:rPr>
  </w:style>
  <w:style w:type="paragraph" w:styleId="Contents51">
    <w:name w:val="Contents 5"/>
    <w:link w:val="Style_5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next w:val="Normal"/>
    <w:link w:val="Style_34_ch"/>
    <w:uiPriority w:val="39"/>
    <w:pPr>
      <w:ind w:left="400" w:right="0" w:hanging="0"/>
    </w:pPr>
    <w:rPr/>
  </w:style>
  <w:style w:type="paragraph" w:styleId="Contents81">
    <w:name w:val="Contents 8"/>
    <w:link w:val="Style_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4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FF"/>
      <w:spacing w:val="0"/>
      <w:kern w:val="0"/>
      <w:sz w:val="24"/>
      <w:szCs w:val="20"/>
      <w:u w:val="single" w:color="0000FF"/>
      <w:lang w:val="ru-RU" w:eastAsia="zh-CN" w:bidi="hi-IN"/>
    </w:rPr>
  </w:style>
  <w:style w:type="paragraph" w:styleId="11">
    <w:name w:val="TOC 1"/>
    <w:basedOn w:val="Normal"/>
    <w:next w:val="Normal"/>
    <w:link w:val="Style_46_ch"/>
    <w:uiPriority w:val="39"/>
    <w:pPr>
      <w:ind w:left="0" w:right="0" w:hanging="0"/>
    </w:pPr>
    <w:rPr>
      <w:rFonts w:ascii="XO Thames" w:hAnsi="XO Thames"/>
      <w:b/>
    </w:rPr>
  </w:style>
  <w:style w:type="paragraph" w:styleId="Contents41">
    <w:name w:val="Contents 4"/>
    <w:link w:val="Style_6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next w:val="Normal"/>
    <w:link w:val="Style_54_ch"/>
    <w:uiPriority w:val="39"/>
    <w:pPr>
      <w:ind w:left="1600" w:right="0" w:hanging="0"/>
    </w:pPr>
    <w:rPr/>
  </w:style>
  <w:style w:type="paragraph" w:styleId="8">
    <w:name w:val="TOC 8"/>
    <w:basedOn w:val="Normal"/>
    <w:next w:val="Normal"/>
    <w:link w:val="Style_55_ch"/>
    <w:uiPriority w:val="39"/>
    <w:pPr>
      <w:ind w:left="1400" w:right="0" w:hanging="0"/>
    </w:pPr>
    <w:rPr/>
  </w:style>
  <w:style w:type="paragraph" w:styleId="Contents11">
    <w:name w:val="Contents 1"/>
    <w:link w:val="Style_5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next w:val="Normal"/>
    <w:link w:val="Style_58_ch"/>
    <w:uiPriority w:val="39"/>
    <w:pPr>
      <w:ind w:left="800" w:right="0" w:hanging="0"/>
    </w:pPr>
    <w:rPr/>
  </w:style>
  <w:style w:type="paragraph" w:styleId="Style30">
    <w:name w:val="Subtitle"/>
    <w:next w:val="Normal"/>
    <w:link w:val="Style_63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Contents61">
    <w:name w:val="Contents 6"/>
    <w:link w:val="Style_7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LibreOffice_project/144abb84a525d8e30c9dbbefa69cbbf2d8d4ae3b</Application>
  <AppVersion>15.0000</AppVersion>
  <Pages>1</Pages>
  <Words>370</Words>
  <Characters>3025</Characters>
  <CharactersWithSpaces>3384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2021-10-11T15:52:33Z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